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91" w:rsidRDefault="002D5991">
      <w:pPr>
        <w:pStyle w:val="ConsPlusNormal"/>
        <w:jc w:val="both"/>
        <w:outlineLvl w:val="0"/>
      </w:pPr>
      <w:bookmarkStart w:id="0" w:name="_GoBack"/>
      <w:bookmarkEnd w:id="0"/>
      <w:r>
        <w:t>Зарегистрировано в Национальном реестре правовых актов</w:t>
      </w:r>
    </w:p>
    <w:p w:rsidR="002D5991" w:rsidRDefault="002D5991">
      <w:pPr>
        <w:pStyle w:val="ConsPlusNormal"/>
        <w:jc w:val="both"/>
      </w:pPr>
      <w:r>
        <w:t>Республики Беларусь 15 августа 2011 г. N 1/12763</w:t>
      </w:r>
    </w:p>
    <w:p w:rsidR="002D5991" w:rsidRDefault="002D5991">
      <w:pPr>
        <w:pStyle w:val="ConsPlusNormal"/>
        <w:pBdr>
          <w:top w:val="single" w:sz="6" w:space="0" w:color="auto"/>
        </w:pBdr>
        <w:spacing w:before="100" w:after="100"/>
        <w:jc w:val="both"/>
        <w:rPr>
          <w:sz w:val="2"/>
          <w:szCs w:val="2"/>
        </w:rPr>
      </w:pPr>
    </w:p>
    <w:p w:rsidR="002D5991" w:rsidRDefault="002D5991">
      <w:pPr>
        <w:pStyle w:val="ConsPlusNormal"/>
        <w:jc w:val="both"/>
      </w:pPr>
    </w:p>
    <w:p w:rsidR="002D5991" w:rsidRDefault="002D5991">
      <w:pPr>
        <w:pStyle w:val="ConsPlusTitle"/>
        <w:jc w:val="center"/>
      </w:pPr>
      <w:r>
        <w:t>УКАЗ ПРЕЗИДЕНТА РЕСПУБЛИКИ БЕЛАРУСЬ</w:t>
      </w:r>
    </w:p>
    <w:p w:rsidR="002D5991" w:rsidRDefault="002D5991">
      <w:pPr>
        <w:pStyle w:val="ConsPlusTitle"/>
        <w:jc w:val="center"/>
      </w:pPr>
      <w:r>
        <w:t>11 августа 2011 г. N 358</w:t>
      </w:r>
    </w:p>
    <w:p w:rsidR="002D5991" w:rsidRDefault="002D5991">
      <w:pPr>
        <w:pStyle w:val="ConsPlusTitle"/>
        <w:jc w:val="center"/>
      </w:pPr>
    </w:p>
    <w:p w:rsidR="002D5991" w:rsidRDefault="002D5991">
      <w:pPr>
        <w:pStyle w:val="ConsPlusTitle"/>
        <w:jc w:val="center"/>
      </w:pPr>
      <w:r>
        <w:t>О СТИМУЛИРОВАНИИ РЕАЛИЗАЦИИ ТОВАРОВ</w:t>
      </w:r>
    </w:p>
    <w:p w:rsidR="002D5991" w:rsidRDefault="002D5991">
      <w:pPr>
        <w:pStyle w:val="ConsPlusNormal"/>
        <w:jc w:val="center"/>
      </w:pPr>
    </w:p>
    <w:p w:rsidR="002D5991" w:rsidRDefault="002D5991">
      <w:pPr>
        <w:pStyle w:val="ConsPlusNormal"/>
        <w:jc w:val="center"/>
      </w:pPr>
      <w:r>
        <w:t xml:space="preserve">(в ред. Указов Президента Республики Беларусь от 11.07.2012 </w:t>
      </w:r>
      <w:hyperlink r:id="rId4" w:history="1">
        <w:r>
          <w:rPr>
            <w:color w:val="0000FF"/>
          </w:rPr>
          <w:t>N 312</w:t>
        </w:r>
      </w:hyperlink>
      <w:r>
        <w:t>,</w:t>
      </w:r>
    </w:p>
    <w:p w:rsidR="002D5991" w:rsidRDefault="002D5991">
      <w:pPr>
        <w:pStyle w:val="ConsPlusNormal"/>
        <w:jc w:val="center"/>
      </w:pPr>
      <w:r>
        <w:t xml:space="preserve">от 03.12.2013 </w:t>
      </w:r>
      <w:hyperlink r:id="rId5" w:history="1">
        <w:r>
          <w:rPr>
            <w:color w:val="0000FF"/>
          </w:rPr>
          <w:t>N 533</w:t>
        </w:r>
      </w:hyperlink>
      <w:r>
        <w:t xml:space="preserve">, от 05.01.2015 </w:t>
      </w:r>
      <w:hyperlink r:id="rId6" w:history="1">
        <w:r>
          <w:rPr>
            <w:color w:val="0000FF"/>
          </w:rPr>
          <w:t>N 1</w:t>
        </w:r>
      </w:hyperlink>
      <w:r>
        <w:t>)</w:t>
      </w:r>
    </w:p>
    <w:p w:rsidR="002D5991" w:rsidRDefault="002D5991">
      <w:pPr>
        <w:pStyle w:val="ConsPlusNormal"/>
        <w:ind w:firstLine="540"/>
        <w:jc w:val="both"/>
      </w:pPr>
    </w:p>
    <w:p w:rsidR="002D5991" w:rsidRDefault="002D5991">
      <w:pPr>
        <w:pStyle w:val="ConsPlusNormal"/>
        <w:ind w:firstLine="540"/>
        <w:jc w:val="both"/>
      </w:pPr>
      <w:r>
        <w:t>В целях создания условий для увеличения объемов реализации товаров (работ, услуг) за пределы Республики Беларусь:</w:t>
      </w:r>
    </w:p>
    <w:p w:rsidR="002D5991" w:rsidRDefault="002D5991">
      <w:pPr>
        <w:pStyle w:val="ConsPlusNormal"/>
        <w:ind w:firstLine="540"/>
        <w:jc w:val="both"/>
      </w:pPr>
      <w:bookmarkStart w:id="1" w:name="P14"/>
      <w:bookmarkEnd w:id="1"/>
      <w:r>
        <w:t>1. Установить, что с 1 апреля 2011 г. товары, ввозимые в Республику Беларусь лицами, обладающими статусом уполномоченного экономического оператора и включенными в реестр владельцев таможенных складов и (или) в реестр владельцев складов временного хранения (далее - лицо - владелец склада), освобождаются от налога на добавленную стоимость, взимаемого таможенными органами.</w:t>
      </w:r>
    </w:p>
    <w:p w:rsidR="002D5991" w:rsidRDefault="002D5991">
      <w:pPr>
        <w:pStyle w:val="ConsPlusNormal"/>
        <w:jc w:val="both"/>
      </w:pPr>
      <w:r>
        <w:t xml:space="preserve">(в ред. </w:t>
      </w:r>
      <w:hyperlink r:id="rId7" w:history="1">
        <w:r>
          <w:rPr>
            <w:color w:val="0000FF"/>
          </w:rPr>
          <w:t>Указа</w:t>
        </w:r>
      </w:hyperlink>
      <w:r>
        <w:t xml:space="preserve"> Президента Республики Беларусь от 03.12.2013 N 533)</w:t>
      </w:r>
    </w:p>
    <w:p w:rsidR="002D5991" w:rsidRDefault="002D5991">
      <w:pPr>
        <w:pStyle w:val="ConsPlusNormal"/>
        <w:ind w:firstLine="540"/>
        <w:jc w:val="both"/>
      </w:pPr>
      <w:r>
        <w:t>Условием такого освобождения является экспорт лицом - владельцем склада товаров, ввозимых им в Республику Беларусь (далее - товары), с применением ставки налога на добавленную стоимость в размере ноль (0) процентов.</w:t>
      </w:r>
    </w:p>
    <w:p w:rsidR="002D5991" w:rsidRDefault="002D5991">
      <w:pPr>
        <w:pStyle w:val="ConsPlusNormal"/>
        <w:ind w:firstLine="540"/>
        <w:jc w:val="both"/>
      </w:pPr>
      <w:r>
        <w:t xml:space="preserve">Выполнение данного условия подтверждается Министерством по налогам и сборам путем направления Государственному таможенному комитету реестра сведений о применении ставки налога на добавленную стоимость в размере ноль (0) процентов по экспорту товаров, освобождаемых от налога на добавленную стоимость, согласно </w:t>
      </w:r>
      <w:hyperlink w:anchor="P57" w:history="1">
        <w:r>
          <w:rPr>
            <w:color w:val="0000FF"/>
          </w:rPr>
          <w:t>приложению</w:t>
        </w:r>
      </w:hyperlink>
      <w:r>
        <w:t>. Реестр сведений о применении ставки налога на добавленную стоимость в размере ноль (0) процентов по экспорту товаров, освобождаемых от налога на добавленную стоимость (далее - реестр), заполняется лицом - владельцем склада и представляется в течение 190 дней со дня помещения товаров под таможенную процедуру выпуска для внутреннего потребления в электронном виде и на бумажном носителе в налоговый орган по месту его постановки на учет вместе с налоговой декларацией (расчетом) по налогу на добавленную стоимость, в которой в соответствии с законодательством отражены обороты по реализации товаров с применением ставки налога на добавленную стоимость в размере ноль (0) процентов. Реестр должен быть представлен в Государственный таможенный комитет в течение 210 дней со дня помещения товаров под таможенную процедуру выпуска для внутреннего потребления.</w:t>
      </w:r>
    </w:p>
    <w:p w:rsidR="002D5991" w:rsidRDefault="002D5991">
      <w:pPr>
        <w:pStyle w:val="ConsPlusNormal"/>
        <w:ind w:firstLine="540"/>
        <w:jc w:val="both"/>
      </w:pPr>
      <w:bookmarkStart w:id="2" w:name="P18"/>
      <w:bookmarkEnd w:id="2"/>
      <w:r>
        <w:t>Налоговый орган по месту постановки на учет лица - владельца склада в течение 5 рабочих дней со дня поступления реестра сверяет сведения, указанные лицом - владельцем склада в реестре, на соответствие сведениям, содержащимся в представленных им документах и налоговой декларации (расчете) по налогу на добавленную стоимость.</w:t>
      </w:r>
    </w:p>
    <w:p w:rsidR="002D5991" w:rsidRDefault="002D5991">
      <w:pPr>
        <w:pStyle w:val="ConsPlusNormal"/>
        <w:ind w:firstLine="540"/>
        <w:jc w:val="both"/>
      </w:pPr>
      <w:r>
        <w:t xml:space="preserve">При отсутствии несоответствия сведений, указанных в </w:t>
      </w:r>
      <w:hyperlink w:anchor="P18" w:history="1">
        <w:r>
          <w:rPr>
            <w:color w:val="0000FF"/>
          </w:rPr>
          <w:t>части четвертой</w:t>
        </w:r>
      </w:hyperlink>
      <w:r>
        <w:t xml:space="preserve"> настоящего пункта, налоговый орган направляет реестр в инспекцию Министерства по налогам и сборам по области (г. Минску) для формирования Министерством по налогам и сборам обобщенного реестра и его представления в Государственный таможенный комитет.</w:t>
      </w:r>
    </w:p>
    <w:p w:rsidR="002D5991" w:rsidRDefault="002D5991">
      <w:pPr>
        <w:pStyle w:val="ConsPlusNormal"/>
        <w:ind w:firstLine="540"/>
        <w:jc w:val="both"/>
      </w:pPr>
      <w:bookmarkStart w:id="3" w:name="P20"/>
      <w:bookmarkEnd w:id="3"/>
      <w:r>
        <w:t>В случае установления налоговым органом по месту постановки на учет лица - владельца склада необоснованности применения ставки налога на добавленную стоимость в размере ноль (0) процентов в отношении всех либо части товаров, сведения о которых были указаны в реестре, направленном в Государственный таможенный комитет, Министерство по налогам и сборам представляет соответствующее уведомление в Государственный таможенный комитет.</w:t>
      </w:r>
    </w:p>
    <w:p w:rsidR="002D5991" w:rsidRDefault="002D5991">
      <w:pPr>
        <w:pStyle w:val="ConsPlusNormal"/>
        <w:ind w:firstLine="540"/>
        <w:jc w:val="both"/>
      </w:pPr>
      <w:r>
        <w:t xml:space="preserve">Если в течение срока, установленного в настоящем пункте для представления реестра в Государственный таможенный комитет, а также по информации, представленной Министерством по налогам и сборам в соответствии с </w:t>
      </w:r>
      <w:hyperlink w:anchor="P20" w:history="1">
        <w:r>
          <w:rPr>
            <w:color w:val="0000FF"/>
          </w:rPr>
          <w:t>частью шестой</w:t>
        </w:r>
      </w:hyperlink>
      <w:r>
        <w:t xml:space="preserve"> настоящего пункта, не подтверждено применение лицом - владельцем склада ставки налога на добавленную стоимость в размере ноль </w:t>
      </w:r>
      <w:r>
        <w:lastRenderedPageBreak/>
        <w:t>(0) процентов по экспорту товаров, суммы налога на добавленную стоимость взыскиваются таможенными органами с взиманием пеней в соответствии с законодательством.</w:t>
      </w:r>
    </w:p>
    <w:p w:rsidR="002D5991" w:rsidRDefault="002D5991">
      <w:pPr>
        <w:pStyle w:val="ConsPlusNormal"/>
        <w:ind w:firstLine="540"/>
        <w:jc w:val="both"/>
      </w:pPr>
      <w:r>
        <w:t xml:space="preserve">При определении лицом - владельцем склада удельного веса, принимаемого для распределения налоговых вычетов по налогу на добавленную стоимость методом удельного веса, из общей суммы оборота по реализации товаров (работ, услуг), имущественных прав исключаются обороты по реализации лицом - владельцем склада товаров, если при их ввозе на территорию Республики Беларусь налог на добавленную стоимость таможенными органами не взимался в соответствии с </w:t>
      </w:r>
      <w:hyperlink w:anchor="P14" w:history="1">
        <w:r>
          <w:rPr>
            <w:color w:val="0000FF"/>
          </w:rPr>
          <w:t>частью первой</w:t>
        </w:r>
      </w:hyperlink>
      <w:r>
        <w:t xml:space="preserve"> настоящего пункта и обороты по реализации таких товаров отражены с применением ставки налога на добавленную стоимость в размере 0 (ноль) процентов в налоговой декларации (расчете) по налогу на добавленную стоимость, представляемой за отчетные периоды 2015 года, а также за отчетные периоды последующих налоговых периодов.</w:t>
      </w:r>
    </w:p>
    <w:p w:rsidR="002D5991" w:rsidRDefault="002D5991">
      <w:pPr>
        <w:pStyle w:val="ConsPlusNormal"/>
        <w:jc w:val="both"/>
      </w:pPr>
      <w:r>
        <w:t xml:space="preserve">(часть восьмая п. 1 введена </w:t>
      </w:r>
      <w:hyperlink r:id="rId8" w:history="1">
        <w:r>
          <w:rPr>
            <w:color w:val="0000FF"/>
          </w:rPr>
          <w:t>Указом</w:t>
        </w:r>
      </w:hyperlink>
      <w:r>
        <w:t xml:space="preserve"> Президента Республики Беларусь от 05.01.2015 N 1)</w:t>
      </w:r>
    </w:p>
    <w:p w:rsidR="002D5991" w:rsidRDefault="002D5991">
      <w:pPr>
        <w:pStyle w:val="ConsPlusNormal"/>
        <w:jc w:val="both"/>
      </w:pPr>
      <w:r>
        <w:t xml:space="preserve">(п. 1 в ред. </w:t>
      </w:r>
      <w:hyperlink r:id="rId9" w:history="1">
        <w:r>
          <w:rPr>
            <w:color w:val="0000FF"/>
          </w:rPr>
          <w:t>Указа</w:t>
        </w:r>
      </w:hyperlink>
      <w:r>
        <w:t xml:space="preserve"> Президента Республики Беларусь от 11.07.2012 N 312)</w:t>
      </w:r>
    </w:p>
    <w:p w:rsidR="002D5991" w:rsidRDefault="002D5991">
      <w:pPr>
        <w:pStyle w:val="ConsPlusNormal"/>
        <w:ind w:firstLine="540"/>
        <w:jc w:val="both"/>
      </w:pPr>
      <w:r>
        <w:t xml:space="preserve">1-1. При реализации лицом - владельцем склада товаров, ввезенных на территорию Республики Беларусь с 1 января 2014 г., налогоплательщику </w:t>
      </w:r>
      <w:hyperlink w:anchor="P28" w:history="1">
        <w:r>
          <w:rPr>
            <w:color w:val="0000FF"/>
          </w:rPr>
          <w:t>&lt;*&gt;</w:t>
        </w:r>
      </w:hyperlink>
      <w:r>
        <w:t xml:space="preserve"> другого государства - члена Таможенного союза, когда перевозка (транспортировка) товаров начата за пределами таможенной территории Таможенного союза и завершена в другом государстве - члене Таможенного союза, местом реализации таких товаров признается территория Республики Беларусь, если на ее территории ввезенные товары помещаются под таможенную процедуру выпуска для внутреннего потребления.</w:t>
      </w:r>
    </w:p>
    <w:p w:rsidR="002D5991" w:rsidRDefault="002D5991">
      <w:pPr>
        <w:pStyle w:val="ConsPlusNormal"/>
        <w:jc w:val="both"/>
      </w:pPr>
      <w:r>
        <w:t xml:space="preserve">(п. 1-1 введен </w:t>
      </w:r>
      <w:hyperlink r:id="rId10" w:history="1">
        <w:r>
          <w:rPr>
            <w:color w:val="0000FF"/>
          </w:rPr>
          <w:t>Указом</w:t>
        </w:r>
      </w:hyperlink>
      <w:r>
        <w:t xml:space="preserve"> Президента Республики Беларусь от 05.01.2015 N 1)</w:t>
      </w:r>
    </w:p>
    <w:p w:rsidR="002D5991" w:rsidRDefault="002D5991">
      <w:pPr>
        <w:pStyle w:val="ConsPlusNormal"/>
        <w:ind w:firstLine="540"/>
        <w:jc w:val="both"/>
      </w:pPr>
      <w:r>
        <w:t>--------------------------------</w:t>
      </w:r>
    </w:p>
    <w:p w:rsidR="002D5991" w:rsidRDefault="002D5991">
      <w:pPr>
        <w:pStyle w:val="ConsPlusNormal"/>
        <w:ind w:firstLine="540"/>
        <w:jc w:val="both"/>
      </w:pPr>
      <w:bookmarkStart w:id="4" w:name="P28"/>
      <w:bookmarkEnd w:id="4"/>
      <w:r>
        <w:t>&lt;*&gt; Для целей настоящего Указа под налогоплательщиком другого государства - члена Таможенного союза понимается юридическое (физическое) лицо, зарегистрированное в качестве плательщика налогов другого государства - члена Таможенного союза.</w:t>
      </w:r>
    </w:p>
    <w:p w:rsidR="002D5991" w:rsidRDefault="002D5991">
      <w:pPr>
        <w:pStyle w:val="ConsPlusNormal"/>
        <w:jc w:val="both"/>
      </w:pPr>
      <w:r>
        <w:t xml:space="preserve">(сноска введена </w:t>
      </w:r>
      <w:hyperlink r:id="rId11" w:history="1">
        <w:r>
          <w:rPr>
            <w:color w:val="0000FF"/>
          </w:rPr>
          <w:t>Указом</w:t>
        </w:r>
      </w:hyperlink>
      <w:r>
        <w:t xml:space="preserve"> Президента Республики Беларусь от 05.01.2015 N 1)</w:t>
      </w:r>
    </w:p>
    <w:p w:rsidR="002D5991" w:rsidRDefault="002D5991">
      <w:pPr>
        <w:pStyle w:val="ConsPlusNormal"/>
        <w:ind w:firstLine="540"/>
        <w:jc w:val="both"/>
      </w:pPr>
    </w:p>
    <w:p w:rsidR="002D5991" w:rsidRDefault="002D5991">
      <w:pPr>
        <w:pStyle w:val="ConsPlusNormal"/>
        <w:ind w:firstLine="540"/>
        <w:jc w:val="both"/>
      </w:pPr>
      <w:r>
        <w:t>2. Установить, что договор страхования риска непогашения кредита, выдаваемого банками - резидентами Республики Беларусь, заключенный с Белорусским республиканским унитарным предприятием экспортно-импортного страхования "Белэксимгарант", может быть приравнен этими банками в соответствии с законодательством к страховому полису страховой организации - юридического лица соответствующей группы, в отношении которой не предусматривается формирование специальных резервов на покрытие возможных убытков.</w:t>
      </w:r>
    </w:p>
    <w:p w:rsidR="002D5991" w:rsidRDefault="002D5991">
      <w:pPr>
        <w:pStyle w:val="ConsPlusNormal"/>
        <w:ind w:firstLine="540"/>
        <w:jc w:val="both"/>
      </w:pPr>
      <w:r>
        <w:t>3. Признать утратившими силу:</w:t>
      </w:r>
    </w:p>
    <w:p w:rsidR="002D5991" w:rsidRDefault="002D5991">
      <w:pPr>
        <w:pStyle w:val="ConsPlusNormal"/>
        <w:ind w:firstLine="540"/>
        <w:jc w:val="both"/>
      </w:pPr>
      <w:hyperlink r:id="rId12" w:history="1">
        <w:r>
          <w:rPr>
            <w:color w:val="0000FF"/>
          </w:rPr>
          <w:t>Указ</w:t>
        </w:r>
      </w:hyperlink>
      <w:r>
        <w:t xml:space="preserve"> Президента Республики Беларусь от 7 марта 2000 г. N 117 "О некоторых мерах по упорядочению посреднической деятельности при продаже товаров" (Национальный реестр правовых актов Республики Беларусь, 2000 г., N 26, 1/1075);</w:t>
      </w:r>
    </w:p>
    <w:p w:rsidR="002D5991" w:rsidRDefault="002D5991">
      <w:pPr>
        <w:pStyle w:val="ConsPlusNormal"/>
        <w:ind w:firstLine="540"/>
        <w:jc w:val="both"/>
      </w:pPr>
      <w:hyperlink r:id="rId13" w:history="1">
        <w:r>
          <w:rPr>
            <w:color w:val="0000FF"/>
          </w:rPr>
          <w:t>пункт 11</w:t>
        </w:r>
      </w:hyperlink>
      <w:r>
        <w:t xml:space="preserve"> приложения к Указу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2D5991" w:rsidRDefault="002D5991">
      <w:pPr>
        <w:pStyle w:val="ConsPlusNormal"/>
        <w:ind w:firstLine="540"/>
        <w:jc w:val="both"/>
      </w:pPr>
      <w:r>
        <w:t>4. Совету Министров Республики Беларусь в двухмесячный срок:</w:t>
      </w:r>
    </w:p>
    <w:p w:rsidR="002D5991" w:rsidRDefault="002D5991">
      <w:pPr>
        <w:pStyle w:val="ConsPlusNormal"/>
        <w:ind w:firstLine="540"/>
        <w:jc w:val="both"/>
      </w:pPr>
      <w:r>
        <w:t>4.1. определить порядок дополнительного стимулирования труда руководителей организаций за выполнение показателей прогноза социально-экономического развития Республики Беларусь по экспорту;</w:t>
      </w:r>
    </w:p>
    <w:p w:rsidR="002D5991" w:rsidRDefault="002D5991">
      <w:pPr>
        <w:pStyle w:val="ConsPlusNormal"/>
        <w:ind w:firstLine="540"/>
        <w:jc w:val="both"/>
      </w:pPr>
      <w:r>
        <w:t>4.2. обеспечить приведение актов законодательства в соответствие с настоящим Указом и принять иные меры по его реализации.</w:t>
      </w:r>
    </w:p>
    <w:p w:rsidR="002D5991" w:rsidRDefault="002D5991">
      <w:pPr>
        <w:pStyle w:val="ConsPlusNormal"/>
        <w:ind w:firstLine="540"/>
        <w:jc w:val="both"/>
      </w:pPr>
      <w:r>
        <w:t>5. Контроль за выполнением настоящего Указа возложить на Комитет государственного контроля.</w:t>
      </w:r>
    </w:p>
    <w:p w:rsidR="002D5991" w:rsidRDefault="002D5991">
      <w:pPr>
        <w:pStyle w:val="ConsPlusNormal"/>
        <w:ind w:firstLine="540"/>
        <w:jc w:val="both"/>
      </w:pPr>
      <w:r>
        <w:t>6. Настоящий Указ вступает в силу со дня его подписания и распространяет свое действие на отношения, возникшие с 1 апреля 2011 г.</w:t>
      </w:r>
    </w:p>
    <w:p w:rsidR="002D5991" w:rsidRDefault="002D599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5991">
        <w:tc>
          <w:tcPr>
            <w:tcW w:w="4677" w:type="dxa"/>
            <w:tcBorders>
              <w:top w:val="nil"/>
              <w:left w:val="nil"/>
              <w:bottom w:val="nil"/>
              <w:right w:val="nil"/>
            </w:tcBorders>
          </w:tcPr>
          <w:p w:rsidR="002D5991" w:rsidRDefault="002D5991">
            <w:pPr>
              <w:pStyle w:val="ConsPlusNormal"/>
            </w:pPr>
            <w:r>
              <w:t>Президент Республики Беларусь</w:t>
            </w:r>
          </w:p>
        </w:tc>
        <w:tc>
          <w:tcPr>
            <w:tcW w:w="4677" w:type="dxa"/>
            <w:tcBorders>
              <w:top w:val="nil"/>
              <w:left w:val="nil"/>
              <w:bottom w:val="nil"/>
              <w:right w:val="nil"/>
            </w:tcBorders>
          </w:tcPr>
          <w:p w:rsidR="002D5991" w:rsidRDefault="002D5991">
            <w:pPr>
              <w:pStyle w:val="ConsPlusNormal"/>
              <w:jc w:val="right"/>
            </w:pPr>
            <w:proofErr w:type="spellStart"/>
            <w:r>
              <w:t>А.Лукашенко</w:t>
            </w:r>
            <w:proofErr w:type="spellEnd"/>
          </w:p>
        </w:tc>
      </w:tr>
    </w:tbl>
    <w:p w:rsidR="002D5991" w:rsidRDefault="002D5991">
      <w:pPr>
        <w:pStyle w:val="ConsPlusNormal"/>
        <w:ind w:firstLine="540"/>
        <w:jc w:val="both"/>
      </w:pPr>
    </w:p>
    <w:p w:rsidR="002D5991" w:rsidRDefault="002D5991">
      <w:pPr>
        <w:pStyle w:val="ConsPlusNormal"/>
        <w:ind w:firstLine="540"/>
        <w:jc w:val="both"/>
      </w:pPr>
    </w:p>
    <w:p w:rsidR="002D5991" w:rsidRDefault="002D5991">
      <w:pPr>
        <w:pStyle w:val="ConsPlusNormal"/>
        <w:ind w:firstLine="540"/>
        <w:jc w:val="both"/>
      </w:pPr>
    </w:p>
    <w:p w:rsidR="002D5991" w:rsidRDefault="002D5991">
      <w:pPr>
        <w:pStyle w:val="ConsPlusNormal"/>
        <w:ind w:firstLine="540"/>
        <w:jc w:val="both"/>
      </w:pPr>
    </w:p>
    <w:p w:rsidR="002D5991" w:rsidRDefault="002D5991">
      <w:pPr>
        <w:pStyle w:val="ConsPlusNormal"/>
        <w:ind w:firstLine="540"/>
        <w:jc w:val="both"/>
      </w:pPr>
    </w:p>
    <w:p w:rsidR="002D5991" w:rsidRDefault="002D5991">
      <w:pPr>
        <w:pStyle w:val="ConsPlusNormal"/>
        <w:jc w:val="right"/>
        <w:outlineLvl w:val="0"/>
      </w:pPr>
      <w:r>
        <w:t>Приложение</w:t>
      </w:r>
    </w:p>
    <w:p w:rsidR="002D5991" w:rsidRDefault="002D5991">
      <w:pPr>
        <w:pStyle w:val="ConsPlusNormal"/>
        <w:jc w:val="right"/>
      </w:pPr>
      <w:r>
        <w:t>к Указу Президента</w:t>
      </w:r>
    </w:p>
    <w:p w:rsidR="002D5991" w:rsidRDefault="002D5991">
      <w:pPr>
        <w:pStyle w:val="ConsPlusNormal"/>
        <w:jc w:val="right"/>
      </w:pPr>
      <w:r>
        <w:t>Республики Беларусь</w:t>
      </w:r>
    </w:p>
    <w:p w:rsidR="002D5991" w:rsidRDefault="002D5991">
      <w:pPr>
        <w:pStyle w:val="ConsPlusNormal"/>
        <w:jc w:val="right"/>
      </w:pPr>
      <w:r>
        <w:t>11.08.2011 N 358</w:t>
      </w:r>
    </w:p>
    <w:p w:rsidR="002D5991" w:rsidRDefault="002D5991">
      <w:pPr>
        <w:pStyle w:val="ConsPlusNormal"/>
        <w:jc w:val="right"/>
      </w:pPr>
      <w:r>
        <w:t>(в редакции Указа Президента</w:t>
      </w:r>
    </w:p>
    <w:p w:rsidR="002D5991" w:rsidRDefault="002D5991">
      <w:pPr>
        <w:pStyle w:val="ConsPlusNormal"/>
        <w:jc w:val="right"/>
      </w:pPr>
      <w:r>
        <w:t>Республики Беларусь</w:t>
      </w:r>
    </w:p>
    <w:p w:rsidR="002D5991" w:rsidRDefault="002D5991">
      <w:pPr>
        <w:pStyle w:val="ConsPlusNormal"/>
        <w:jc w:val="right"/>
      </w:pPr>
      <w:r>
        <w:t>05.01.2015 N 1)</w:t>
      </w:r>
    </w:p>
    <w:p w:rsidR="002D5991" w:rsidRDefault="002D5991">
      <w:pPr>
        <w:pStyle w:val="ConsPlusNormal"/>
        <w:jc w:val="center"/>
      </w:pPr>
    </w:p>
    <w:p w:rsidR="002D5991" w:rsidRDefault="002D5991">
      <w:pPr>
        <w:pStyle w:val="ConsPlusNormal"/>
        <w:jc w:val="center"/>
      </w:pPr>
      <w:r>
        <w:t xml:space="preserve">(в ред. </w:t>
      </w:r>
      <w:hyperlink r:id="rId14" w:history="1">
        <w:r>
          <w:rPr>
            <w:color w:val="0000FF"/>
          </w:rPr>
          <w:t>Указа</w:t>
        </w:r>
      </w:hyperlink>
      <w:r>
        <w:t xml:space="preserve"> Президента Республики Беларусь от 05.01.2015 N 1)</w:t>
      </w:r>
    </w:p>
    <w:p w:rsidR="002D5991" w:rsidRDefault="002D5991">
      <w:pPr>
        <w:pStyle w:val="ConsPlusNormal"/>
      </w:pPr>
    </w:p>
    <w:p w:rsidR="002D5991" w:rsidRDefault="002D5991">
      <w:pPr>
        <w:pStyle w:val="ConsPlusNormal"/>
      </w:pPr>
      <w:bookmarkStart w:id="5" w:name="P57"/>
      <w:bookmarkEnd w:id="5"/>
      <w:r>
        <w:rPr>
          <w:b/>
        </w:rPr>
        <w:t>Реестр сведений о применении ставки налога на добавленную стоимость в размере ноль (0) процентов по экспорту товаров, освобождаемых от налога на добавленную стоимость</w:t>
      </w:r>
    </w:p>
    <w:p w:rsidR="002D5991" w:rsidRDefault="002D5991">
      <w:pPr>
        <w:sectPr w:rsidR="002D5991" w:rsidSect="00907327">
          <w:pgSz w:w="11906" w:h="16838"/>
          <w:pgMar w:top="1134" w:right="850" w:bottom="1134" w:left="1701" w:header="708" w:footer="708" w:gutter="0"/>
          <w:cols w:space="708"/>
          <w:docGrid w:linePitch="360"/>
        </w:sectPr>
      </w:pPr>
    </w:p>
    <w:p w:rsidR="002D5991" w:rsidRDefault="002D5991">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1496"/>
        <w:gridCol w:w="1543"/>
        <w:gridCol w:w="1536"/>
        <w:gridCol w:w="2406"/>
        <w:gridCol w:w="1760"/>
        <w:gridCol w:w="1727"/>
        <w:gridCol w:w="1993"/>
        <w:gridCol w:w="1621"/>
        <w:gridCol w:w="1465"/>
        <w:gridCol w:w="2406"/>
        <w:gridCol w:w="1891"/>
        <w:gridCol w:w="1862"/>
      </w:tblGrid>
      <w:tr w:rsidR="002D5991">
        <w:tc>
          <w:tcPr>
            <w:tcW w:w="525" w:type="dxa"/>
            <w:tcBorders>
              <w:left w:val="nil"/>
            </w:tcBorders>
            <w:vAlign w:val="center"/>
          </w:tcPr>
          <w:p w:rsidR="002D5991" w:rsidRDefault="002D5991">
            <w:pPr>
              <w:pStyle w:val="ConsPlusNormal"/>
              <w:jc w:val="center"/>
            </w:pPr>
            <w:r>
              <w:t>N</w:t>
            </w:r>
            <w:r>
              <w:br/>
              <w:t>п/п</w:t>
            </w:r>
          </w:p>
        </w:tc>
        <w:tc>
          <w:tcPr>
            <w:tcW w:w="1496" w:type="dxa"/>
            <w:vAlign w:val="center"/>
          </w:tcPr>
          <w:p w:rsidR="002D5991" w:rsidRDefault="002D5991">
            <w:pPr>
              <w:pStyle w:val="ConsPlusNormal"/>
              <w:jc w:val="center"/>
            </w:pPr>
            <w:r>
              <w:t>Код инспекции МНС</w:t>
            </w:r>
          </w:p>
        </w:tc>
        <w:tc>
          <w:tcPr>
            <w:tcW w:w="1543" w:type="dxa"/>
            <w:vAlign w:val="center"/>
          </w:tcPr>
          <w:p w:rsidR="002D5991" w:rsidRDefault="002D5991">
            <w:pPr>
              <w:pStyle w:val="ConsPlusNormal"/>
              <w:jc w:val="center"/>
            </w:pPr>
            <w:r>
              <w:t>УНП декларанта (лица - владельца склада)</w:t>
            </w:r>
          </w:p>
        </w:tc>
        <w:tc>
          <w:tcPr>
            <w:tcW w:w="1536" w:type="dxa"/>
            <w:vAlign w:val="center"/>
          </w:tcPr>
          <w:p w:rsidR="002D5991" w:rsidRDefault="002D5991">
            <w:pPr>
              <w:pStyle w:val="ConsPlusNormal"/>
              <w:jc w:val="center"/>
            </w:pPr>
            <w:bookmarkStart w:id="6" w:name="P62"/>
            <w:bookmarkEnd w:id="6"/>
            <w:r>
              <w:t xml:space="preserve">УНП экспортера (лица - владельца склада) </w:t>
            </w:r>
            <w:hyperlink w:anchor="P87" w:history="1">
              <w:r>
                <w:rPr>
                  <w:color w:val="0000FF"/>
                </w:rPr>
                <w:t>&lt;*&gt;</w:t>
              </w:r>
            </w:hyperlink>
          </w:p>
        </w:tc>
        <w:tc>
          <w:tcPr>
            <w:tcW w:w="2406" w:type="dxa"/>
            <w:vAlign w:val="center"/>
          </w:tcPr>
          <w:p w:rsidR="002D5991" w:rsidRDefault="002D5991">
            <w:pPr>
              <w:pStyle w:val="ConsPlusNormal"/>
              <w:jc w:val="center"/>
            </w:pPr>
            <w:r>
              <w:t>Регистрационный номер выпуска товаров (при ввозе товаров)</w:t>
            </w:r>
          </w:p>
        </w:tc>
        <w:tc>
          <w:tcPr>
            <w:tcW w:w="1760" w:type="dxa"/>
            <w:vAlign w:val="center"/>
          </w:tcPr>
          <w:p w:rsidR="002D5991" w:rsidRDefault="002D5991">
            <w:pPr>
              <w:pStyle w:val="ConsPlusNormal"/>
              <w:jc w:val="center"/>
            </w:pPr>
            <w:r>
              <w:t>Дата помещения товара под таможенную процедуру выпуска для внутреннего потребления</w:t>
            </w:r>
          </w:p>
        </w:tc>
        <w:tc>
          <w:tcPr>
            <w:tcW w:w="1727" w:type="dxa"/>
            <w:vAlign w:val="center"/>
          </w:tcPr>
          <w:p w:rsidR="002D5991" w:rsidRDefault="002D5991">
            <w:pPr>
              <w:pStyle w:val="ConsPlusNormal"/>
              <w:jc w:val="center"/>
            </w:pPr>
            <w:r>
              <w:t>Порядковый номер товара по декларации на товары (при ввозе товаров)</w:t>
            </w:r>
          </w:p>
        </w:tc>
        <w:tc>
          <w:tcPr>
            <w:tcW w:w="1993" w:type="dxa"/>
            <w:vAlign w:val="center"/>
          </w:tcPr>
          <w:p w:rsidR="002D5991" w:rsidRDefault="002D5991">
            <w:pPr>
              <w:pStyle w:val="ConsPlusNormal"/>
              <w:jc w:val="center"/>
            </w:pPr>
            <w:r>
              <w:t>Наименование товара по декларации на товары (при ввозе товаров)</w:t>
            </w:r>
          </w:p>
        </w:tc>
        <w:tc>
          <w:tcPr>
            <w:tcW w:w="1621" w:type="dxa"/>
            <w:vAlign w:val="center"/>
          </w:tcPr>
          <w:p w:rsidR="002D5991" w:rsidRDefault="002D5991">
            <w:pPr>
              <w:pStyle w:val="ConsPlusNormal"/>
              <w:jc w:val="center"/>
            </w:pPr>
            <w:bookmarkStart w:id="7" w:name="P67"/>
            <w:bookmarkEnd w:id="7"/>
            <w:r>
              <w:t xml:space="preserve">Количество товара, в отношении которого применена ставка НДС в размере ноль (0) процентов </w:t>
            </w:r>
            <w:hyperlink w:anchor="P88" w:history="1">
              <w:r>
                <w:rPr>
                  <w:color w:val="0000FF"/>
                </w:rPr>
                <w:t>&lt;**&gt;</w:t>
              </w:r>
            </w:hyperlink>
          </w:p>
        </w:tc>
        <w:tc>
          <w:tcPr>
            <w:tcW w:w="1465" w:type="dxa"/>
            <w:vAlign w:val="center"/>
          </w:tcPr>
          <w:p w:rsidR="002D5991" w:rsidRDefault="002D5991">
            <w:pPr>
              <w:pStyle w:val="ConsPlusNormal"/>
              <w:jc w:val="center"/>
            </w:pPr>
            <w:r>
              <w:t>Единица измерения товара</w:t>
            </w:r>
          </w:p>
        </w:tc>
        <w:tc>
          <w:tcPr>
            <w:tcW w:w="2406" w:type="dxa"/>
            <w:vAlign w:val="center"/>
          </w:tcPr>
          <w:p w:rsidR="002D5991" w:rsidRDefault="002D5991">
            <w:pPr>
              <w:pStyle w:val="ConsPlusNormal"/>
              <w:jc w:val="center"/>
            </w:pPr>
            <w:r>
              <w:t>Регистрационный номер декларации на товары или номер регистрации статистической декларации (при вывозе товаров)</w:t>
            </w:r>
          </w:p>
        </w:tc>
        <w:tc>
          <w:tcPr>
            <w:tcW w:w="1891" w:type="dxa"/>
            <w:vAlign w:val="center"/>
          </w:tcPr>
          <w:p w:rsidR="002D5991" w:rsidRDefault="002D5991">
            <w:pPr>
              <w:pStyle w:val="ConsPlusNormal"/>
              <w:jc w:val="center"/>
            </w:pPr>
            <w:r>
              <w:t>Серия, номер и дата товарной накладной либо товарно-транспортной накладной при вывозе товаров в государства - члены Таможенного союза</w:t>
            </w:r>
          </w:p>
        </w:tc>
        <w:tc>
          <w:tcPr>
            <w:tcW w:w="1862" w:type="dxa"/>
            <w:tcBorders>
              <w:right w:val="nil"/>
            </w:tcBorders>
            <w:vAlign w:val="center"/>
          </w:tcPr>
          <w:p w:rsidR="002D5991" w:rsidRDefault="002D5991">
            <w:pPr>
              <w:pStyle w:val="ConsPlusNormal"/>
              <w:jc w:val="center"/>
            </w:pPr>
            <w:r>
              <w:t xml:space="preserve">Количество товара, указанное в </w:t>
            </w:r>
            <w:hyperlink w:anchor="P67" w:history="1">
              <w:r>
                <w:rPr>
                  <w:color w:val="0000FF"/>
                </w:rPr>
                <w:t>графе 9</w:t>
              </w:r>
            </w:hyperlink>
            <w:r>
              <w:t>, переведенное экспортером (лицом - владельцем склада) в единицу измерения, выраженную в весе нетто, килограммов</w:t>
            </w:r>
          </w:p>
        </w:tc>
      </w:tr>
      <w:tr w:rsidR="002D5991">
        <w:tc>
          <w:tcPr>
            <w:tcW w:w="525" w:type="dxa"/>
            <w:tcBorders>
              <w:left w:val="nil"/>
            </w:tcBorders>
          </w:tcPr>
          <w:p w:rsidR="002D5991" w:rsidRDefault="002D5991">
            <w:pPr>
              <w:pStyle w:val="ConsPlusNormal"/>
              <w:jc w:val="center"/>
            </w:pPr>
            <w:r>
              <w:t>1</w:t>
            </w:r>
          </w:p>
        </w:tc>
        <w:tc>
          <w:tcPr>
            <w:tcW w:w="1496" w:type="dxa"/>
          </w:tcPr>
          <w:p w:rsidR="002D5991" w:rsidRDefault="002D5991">
            <w:pPr>
              <w:pStyle w:val="ConsPlusNormal"/>
              <w:jc w:val="center"/>
            </w:pPr>
            <w:r>
              <w:t>2</w:t>
            </w:r>
          </w:p>
        </w:tc>
        <w:tc>
          <w:tcPr>
            <w:tcW w:w="1543" w:type="dxa"/>
          </w:tcPr>
          <w:p w:rsidR="002D5991" w:rsidRDefault="002D5991">
            <w:pPr>
              <w:pStyle w:val="ConsPlusNormal"/>
              <w:jc w:val="center"/>
            </w:pPr>
            <w:r>
              <w:t>3</w:t>
            </w:r>
          </w:p>
        </w:tc>
        <w:tc>
          <w:tcPr>
            <w:tcW w:w="1536" w:type="dxa"/>
          </w:tcPr>
          <w:p w:rsidR="002D5991" w:rsidRDefault="002D5991">
            <w:pPr>
              <w:pStyle w:val="ConsPlusNormal"/>
              <w:jc w:val="center"/>
            </w:pPr>
            <w:r>
              <w:t>4</w:t>
            </w:r>
          </w:p>
        </w:tc>
        <w:tc>
          <w:tcPr>
            <w:tcW w:w="2406" w:type="dxa"/>
          </w:tcPr>
          <w:p w:rsidR="002D5991" w:rsidRDefault="002D5991">
            <w:pPr>
              <w:pStyle w:val="ConsPlusNormal"/>
              <w:jc w:val="center"/>
            </w:pPr>
            <w:r>
              <w:t>5</w:t>
            </w:r>
          </w:p>
        </w:tc>
        <w:tc>
          <w:tcPr>
            <w:tcW w:w="1760" w:type="dxa"/>
          </w:tcPr>
          <w:p w:rsidR="002D5991" w:rsidRDefault="002D5991">
            <w:pPr>
              <w:pStyle w:val="ConsPlusNormal"/>
              <w:jc w:val="center"/>
            </w:pPr>
            <w:r>
              <w:t>6</w:t>
            </w:r>
          </w:p>
        </w:tc>
        <w:tc>
          <w:tcPr>
            <w:tcW w:w="1727" w:type="dxa"/>
          </w:tcPr>
          <w:p w:rsidR="002D5991" w:rsidRDefault="002D5991">
            <w:pPr>
              <w:pStyle w:val="ConsPlusNormal"/>
              <w:jc w:val="center"/>
            </w:pPr>
            <w:r>
              <w:t>7</w:t>
            </w:r>
          </w:p>
        </w:tc>
        <w:tc>
          <w:tcPr>
            <w:tcW w:w="1993" w:type="dxa"/>
          </w:tcPr>
          <w:p w:rsidR="002D5991" w:rsidRDefault="002D5991">
            <w:pPr>
              <w:pStyle w:val="ConsPlusNormal"/>
              <w:jc w:val="center"/>
            </w:pPr>
            <w:r>
              <w:t>8</w:t>
            </w:r>
          </w:p>
        </w:tc>
        <w:tc>
          <w:tcPr>
            <w:tcW w:w="1621" w:type="dxa"/>
          </w:tcPr>
          <w:p w:rsidR="002D5991" w:rsidRDefault="002D5991">
            <w:pPr>
              <w:pStyle w:val="ConsPlusNormal"/>
              <w:jc w:val="center"/>
            </w:pPr>
            <w:r>
              <w:t>9</w:t>
            </w:r>
          </w:p>
        </w:tc>
        <w:tc>
          <w:tcPr>
            <w:tcW w:w="1465" w:type="dxa"/>
          </w:tcPr>
          <w:p w:rsidR="002D5991" w:rsidRDefault="002D5991">
            <w:pPr>
              <w:pStyle w:val="ConsPlusNormal"/>
              <w:jc w:val="center"/>
            </w:pPr>
            <w:r>
              <w:t>10</w:t>
            </w:r>
          </w:p>
        </w:tc>
        <w:tc>
          <w:tcPr>
            <w:tcW w:w="2406" w:type="dxa"/>
          </w:tcPr>
          <w:p w:rsidR="002D5991" w:rsidRDefault="002D5991">
            <w:pPr>
              <w:pStyle w:val="ConsPlusNormal"/>
              <w:jc w:val="center"/>
            </w:pPr>
            <w:r>
              <w:t>11</w:t>
            </w:r>
          </w:p>
        </w:tc>
        <w:tc>
          <w:tcPr>
            <w:tcW w:w="1891" w:type="dxa"/>
          </w:tcPr>
          <w:p w:rsidR="002D5991" w:rsidRDefault="002D5991">
            <w:pPr>
              <w:pStyle w:val="ConsPlusNormal"/>
              <w:jc w:val="center"/>
            </w:pPr>
            <w:r>
              <w:t>12</w:t>
            </w:r>
          </w:p>
        </w:tc>
        <w:tc>
          <w:tcPr>
            <w:tcW w:w="1862" w:type="dxa"/>
            <w:tcBorders>
              <w:right w:val="nil"/>
            </w:tcBorders>
          </w:tcPr>
          <w:p w:rsidR="002D5991" w:rsidRDefault="002D5991">
            <w:pPr>
              <w:pStyle w:val="ConsPlusNormal"/>
              <w:jc w:val="center"/>
            </w:pPr>
            <w:r>
              <w:t>13</w:t>
            </w:r>
          </w:p>
        </w:tc>
      </w:tr>
    </w:tbl>
    <w:p w:rsidR="002D5991" w:rsidRDefault="002D5991">
      <w:pPr>
        <w:pStyle w:val="ConsPlusNormal"/>
        <w:ind w:firstLine="540"/>
        <w:jc w:val="both"/>
      </w:pPr>
    </w:p>
    <w:p w:rsidR="002D5991" w:rsidRDefault="002D5991">
      <w:pPr>
        <w:pStyle w:val="ConsPlusNormal"/>
        <w:ind w:firstLine="540"/>
        <w:jc w:val="both"/>
      </w:pPr>
      <w:r>
        <w:t>--------------------------------</w:t>
      </w:r>
    </w:p>
    <w:p w:rsidR="002D5991" w:rsidRDefault="002D5991">
      <w:pPr>
        <w:pStyle w:val="ConsPlusNormal"/>
        <w:ind w:firstLine="540"/>
        <w:jc w:val="both"/>
      </w:pPr>
      <w:bookmarkStart w:id="8" w:name="P87"/>
      <w:bookmarkEnd w:id="8"/>
      <w:r>
        <w:t xml:space="preserve">&lt;*&gt; Заполняется лицом - владельцем склада для представления реестра в налоговый орган. При передаче Министерством по налогам и сборам реестра в Государственный таможенный комитет </w:t>
      </w:r>
      <w:hyperlink w:anchor="P62" w:history="1">
        <w:r>
          <w:rPr>
            <w:color w:val="0000FF"/>
          </w:rPr>
          <w:t>графа 4</w:t>
        </w:r>
      </w:hyperlink>
      <w:r>
        <w:t xml:space="preserve"> не заполняется.</w:t>
      </w:r>
    </w:p>
    <w:p w:rsidR="002D5991" w:rsidRDefault="002D5991">
      <w:pPr>
        <w:pStyle w:val="ConsPlusNormal"/>
        <w:ind w:firstLine="540"/>
        <w:jc w:val="both"/>
      </w:pPr>
      <w:bookmarkStart w:id="9" w:name="P88"/>
      <w:bookmarkEnd w:id="9"/>
      <w:r>
        <w:t>&lt;**&gt; Заполняется на основании данных декларации на товары при вывозе товаров или заявления о ввозе товаров и уплате косвенных налогов с отметкой налогового органа государства - члена Таможенного союза.</w:t>
      </w:r>
    </w:p>
    <w:p w:rsidR="002D5991" w:rsidRDefault="002D5991">
      <w:pPr>
        <w:pStyle w:val="ConsPlusNormal"/>
        <w:jc w:val="both"/>
      </w:pPr>
    </w:p>
    <w:p w:rsidR="002D5991" w:rsidRDefault="002D5991">
      <w:pPr>
        <w:pStyle w:val="ConsPlusNormal"/>
        <w:jc w:val="both"/>
      </w:pPr>
    </w:p>
    <w:p w:rsidR="002D5991" w:rsidRDefault="002D5991">
      <w:pPr>
        <w:pStyle w:val="ConsPlusNormal"/>
        <w:pBdr>
          <w:top w:val="single" w:sz="6" w:space="0" w:color="auto"/>
        </w:pBdr>
        <w:spacing w:before="100" w:after="100"/>
        <w:jc w:val="both"/>
        <w:rPr>
          <w:sz w:val="2"/>
          <w:szCs w:val="2"/>
        </w:rPr>
      </w:pPr>
    </w:p>
    <w:p w:rsidR="004A662F" w:rsidRDefault="00EC1C5C"/>
    <w:sectPr w:rsidR="004A662F" w:rsidSect="00C22FC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91"/>
    <w:rsid w:val="002D5991"/>
    <w:rsid w:val="00495B88"/>
    <w:rsid w:val="00B12E6C"/>
    <w:rsid w:val="00EB5FF6"/>
    <w:rsid w:val="00EC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E0860-FD54-4B71-9729-8C8F1208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9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59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59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996315219C920B885081AF3DC4B4E020C87D7D53EA036A87D9A67AB59E98F0595CCCD69B23E0110806311BC1oBH6H" TargetMode="External"/><Relationship Id="rId13" Type="http://schemas.openxmlformats.org/officeDocument/2006/relationships/hyperlink" Target="consultantplus://offline/ref=5F996315219C920B885081AF3DC4B4E020C87D7D53EA016285DCA47AB59E98F0595CCCD69B23E01108063119C7oBH5H" TargetMode="External"/><Relationship Id="rId3" Type="http://schemas.openxmlformats.org/officeDocument/2006/relationships/webSettings" Target="webSettings.xml"/><Relationship Id="rId7" Type="http://schemas.openxmlformats.org/officeDocument/2006/relationships/hyperlink" Target="consultantplus://offline/ref=5F996315219C920B885081AF3DC4B4E020C87D7D53EA036284DDAA7AB59E98F0595CCCD69B23E0110806311BC1oBH7H" TargetMode="External"/><Relationship Id="rId12" Type="http://schemas.openxmlformats.org/officeDocument/2006/relationships/hyperlink" Target="consultantplus://offline/ref=5F996315219C920B885081AF3DC4B4E020C87D7D53EC01628AD9A827BF96C1FC5Bo5HB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996315219C920B885081AF3DC4B4E020C87D7D53EA036A87D9A67AB59E98F0595CCCD69B23E0110806311BC1oBH1H" TargetMode="External"/><Relationship Id="rId11" Type="http://schemas.openxmlformats.org/officeDocument/2006/relationships/hyperlink" Target="consultantplus://offline/ref=5F996315219C920B885081AF3DC4B4E020C87D7D53EA036A87D9A67AB59E98F0595CCCD69B23E0110806311BC1oBH4H" TargetMode="External"/><Relationship Id="rId5" Type="http://schemas.openxmlformats.org/officeDocument/2006/relationships/hyperlink" Target="consultantplus://offline/ref=5F996315219C920B885081AF3DC4B4E020C87D7D53EA036284DDAA7AB59E98F0595CCCD69B23E0110806311BC1oBH6H" TargetMode="External"/><Relationship Id="rId15" Type="http://schemas.openxmlformats.org/officeDocument/2006/relationships/fontTable" Target="fontTable.xml"/><Relationship Id="rId10" Type="http://schemas.openxmlformats.org/officeDocument/2006/relationships/hyperlink" Target="consultantplus://offline/ref=5F996315219C920B885081AF3DC4B4E020C87D7D53EA036A87D9A67AB59E98F0595CCCD69B23E0110806311BC1oBH4H" TargetMode="External"/><Relationship Id="rId4" Type="http://schemas.openxmlformats.org/officeDocument/2006/relationships/hyperlink" Target="consultantplus://offline/ref=5F996315219C920B885081AF3DC4B4E020C87D7D53EA026282DEA27AB59E98F0595CCCD69B23E0110806311AC9oBH6H" TargetMode="External"/><Relationship Id="rId9" Type="http://schemas.openxmlformats.org/officeDocument/2006/relationships/hyperlink" Target="consultantplus://offline/ref=5F996315219C920B885081AF3DC4B4E020C87D7D53EA026282DEA27AB59E98F0595CCCD69B23E0110806311AC9oBH6H" TargetMode="External"/><Relationship Id="rId14" Type="http://schemas.openxmlformats.org/officeDocument/2006/relationships/hyperlink" Target="consultantplus://offline/ref=5F996315219C920B885081AF3DC4B4E020C87D7D53EA036A87D9A67AB59E98F0595CCCD69B23E0110806311BC0oB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Exim</dc:creator>
  <cp:keywords/>
  <dc:description/>
  <cp:lastModifiedBy>Exim</cp:lastModifiedBy>
  <cp:revision>3</cp:revision>
  <dcterms:created xsi:type="dcterms:W3CDTF">2017-02-06T07:07:00Z</dcterms:created>
  <dcterms:modified xsi:type="dcterms:W3CDTF">2017-02-06T07:08:00Z</dcterms:modified>
</cp:coreProperties>
</file>